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96" w:rsidRPr="00C87596" w:rsidRDefault="00C87596" w:rsidP="00C87596">
      <w:pPr>
        <w:jc w:val="center"/>
        <w:rPr>
          <w:rFonts w:ascii="仿宋" w:eastAsia="仿宋" w:hAnsi="仿宋"/>
          <w:b/>
          <w:sz w:val="44"/>
          <w:szCs w:val="44"/>
        </w:rPr>
      </w:pPr>
      <w:bookmarkStart w:id="0" w:name="_GoBack"/>
      <w:bookmarkEnd w:id="0"/>
      <w:r w:rsidRPr="00C87596">
        <w:rPr>
          <w:rFonts w:ascii="仿宋" w:eastAsia="仿宋" w:hAnsi="仿宋" w:hint="eastAsia"/>
          <w:b/>
          <w:sz w:val="44"/>
          <w:szCs w:val="44"/>
        </w:rPr>
        <w:t>《全球系统重要性银行总损失吸收能力管理办法（征求意见稿）》的起草说明</w:t>
      </w:r>
    </w:p>
    <w:p w:rsidR="00C87596" w:rsidRDefault="00C87596" w:rsidP="00C87596"/>
    <w:p w:rsidR="00C87596" w:rsidRPr="00C87596" w:rsidRDefault="00C87596" w:rsidP="00C87596">
      <w:pPr>
        <w:ind w:firstLineChars="200" w:firstLine="640"/>
        <w:rPr>
          <w:rFonts w:ascii="仿宋" w:eastAsia="仿宋" w:hAnsi="仿宋"/>
          <w:sz w:val="32"/>
          <w:szCs w:val="32"/>
        </w:rPr>
      </w:pPr>
      <w:r w:rsidRPr="00C87596">
        <w:rPr>
          <w:rFonts w:ascii="仿宋" w:eastAsia="仿宋" w:hAnsi="仿宋" w:hint="eastAsia"/>
          <w:sz w:val="32"/>
          <w:szCs w:val="32"/>
        </w:rPr>
        <w:t>为进一步增强我国金融体系的稳定性和健康性，确保我国全球系统重要性银行进入处置阶段时，具有充足的损失吸收和资本重组能力，防范系统性金融风险，中国人民银行会同银保监会起草了《全球系统重要性银行总损失吸收能力管理办法（征求意见稿）》（以下简称《办法》），正式向社会公开征求意见，现将有关情况说明如下：</w:t>
      </w:r>
    </w:p>
    <w:p w:rsidR="00C87596" w:rsidRPr="00C87596" w:rsidRDefault="00C87596" w:rsidP="005736A5">
      <w:pPr>
        <w:ind w:firstLineChars="200" w:firstLine="693"/>
        <w:rPr>
          <w:rFonts w:ascii="仿宋" w:eastAsia="仿宋" w:hAnsi="仿宋"/>
          <w:b/>
          <w:sz w:val="32"/>
          <w:szCs w:val="32"/>
        </w:rPr>
      </w:pPr>
      <w:r w:rsidRPr="00C87596">
        <w:rPr>
          <w:rFonts w:ascii="仿宋" w:eastAsia="仿宋" w:hAnsi="仿宋" w:hint="eastAsia"/>
          <w:b/>
          <w:sz w:val="32"/>
          <w:szCs w:val="32"/>
        </w:rPr>
        <w:t>一、制定《办法》的背景和必要性</w:t>
      </w:r>
    </w:p>
    <w:p w:rsidR="00C87596" w:rsidRPr="00C87596" w:rsidRDefault="00C87596" w:rsidP="00C87596">
      <w:pPr>
        <w:ind w:firstLineChars="200" w:firstLine="640"/>
        <w:rPr>
          <w:rFonts w:ascii="仿宋" w:eastAsia="仿宋" w:hAnsi="仿宋"/>
          <w:sz w:val="32"/>
          <w:szCs w:val="32"/>
        </w:rPr>
      </w:pPr>
      <w:r w:rsidRPr="00C87596">
        <w:rPr>
          <w:rFonts w:ascii="仿宋" w:eastAsia="仿宋" w:hAnsi="仿宋" w:hint="eastAsia"/>
          <w:sz w:val="32"/>
          <w:szCs w:val="32"/>
        </w:rPr>
        <w:t>2008年国际金融危机后，防范“大而不能倒”成为反思危机教训、完善金融监管体制的重要内容。为有效解决“大而不能倒”问题，二十国集团（G20）领导人于2015年11月批准了金融稳定理事会（FSB）提交的《全球系统重要性银行总损失吸收能力条款》，正式明确了总损失吸收能力的国际统一标准。近年来，人民银行、银保监会深入研究国际规则，加强与金融稳定理事会等国际组织的沟通，结合我国实际情况，起草了《办法》，对我国全球系统重要性银行总损失吸收能力比率、构成以及监督检查、信息披露等提出明确要求。</w:t>
      </w:r>
    </w:p>
    <w:p w:rsidR="00C87596" w:rsidRPr="00C87596" w:rsidRDefault="00C87596" w:rsidP="00C87596">
      <w:pPr>
        <w:ind w:firstLineChars="200" w:firstLine="640"/>
        <w:rPr>
          <w:rFonts w:ascii="仿宋" w:eastAsia="仿宋" w:hAnsi="仿宋"/>
          <w:sz w:val="32"/>
          <w:szCs w:val="32"/>
        </w:rPr>
      </w:pPr>
      <w:r w:rsidRPr="00C87596">
        <w:rPr>
          <w:rFonts w:ascii="仿宋" w:eastAsia="仿宋" w:hAnsi="仿宋" w:hint="eastAsia"/>
          <w:sz w:val="32"/>
          <w:szCs w:val="32"/>
        </w:rPr>
        <w:t>《办法》的出台有利于我国全球系统重要性银行提早制定规划，采取综合措施满足总损失吸收能力要求。长远看，实施总损失吸收能力管理，将进一步完善我国商业银行的风险处置机制，对提高大型商业银行风险抵御能力、强化市场</w:t>
      </w:r>
      <w:r w:rsidRPr="00C87596">
        <w:rPr>
          <w:rFonts w:ascii="仿宋" w:eastAsia="仿宋" w:hAnsi="仿宋" w:hint="eastAsia"/>
          <w:sz w:val="32"/>
          <w:szCs w:val="32"/>
        </w:rPr>
        <w:lastRenderedPageBreak/>
        <w:t>约束、增强金融体系的稳健性具有积极意义，有助于拓展商业银行主动负债品种，提高我国直接融资比重，促进多层次资本市场发展。</w:t>
      </w:r>
    </w:p>
    <w:p w:rsidR="00C87596" w:rsidRPr="00C87596" w:rsidRDefault="00C87596" w:rsidP="005736A5">
      <w:pPr>
        <w:ind w:firstLineChars="200" w:firstLine="693"/>
        <w:rPr>
          <w:rFonts w:ascii="仿宋" w:eastAsia="仿宋" w:hAnsi="仿宋"/>
          <w:b/>
          <w:sz w:val="32"/>
          <w:szCs w:val="32"/>
        </w:rPr>
      </w:pPr>
      <w:r w:rsidRPr="00C87596">
        <w:rPr>
          <w:rFonts w:ascii="仿宋" w:eastAsia="仿宋" w:hAnsi="仿宋" w:hint="eastAsia"/>
          <w:b/>
          <w:sz w:val="32"/>
          <w:szCs w:val="32"/>
        </w:rPr>
        <w:t>二、《办法》的主要内容</w:t>
      </w:r>
    </w:p>
    <w:p w:rsidR="00C87596" w:rsidRPr="00C87596" w:rsidRDefault="00C87596" w:rsidP="00C87596">
      <w:pPr>
        <w:ind w:firstLineChars="200" w:firstLine="640"/>
        <w:rPr>
          <w:rFonts w:ascii="仿宋" w:eastAsia="仿宋" w:hAnsi="仿宋"/>
          <w:sz w:val="32"/>
          <w:szCs w:val="32"/>
        </w:rPr>
      </w:pPr>
      <w:r w:rsidRPr="00C87596">
        <w:rPr>
          <w:rFonts w:ascii="仿宋" w:eastAsia="仿宋" w:hAnsi="仿宋" w:hint="eastAsia"/>
          <w:sz w:val="32"/>
          <w:szCs w:val="32"/>
        </w:rPr>
        <w:t>《办法》共七章四十二条，主要内容包括：</w:t>
      </w:r>
      <w:r w:rsidRPr="005E6397">
        <w:rPr>
          <w:rFonts w:ascii="仿宋" w:eastAsia="仿宋" w:hAnsi="仿宋" w:hint="eastAsia"/>
          <w:b/>
          <w:sz w:val="32"/>
          <w:szCs w:val="32"/>
        </w:rPr>
        <w:t>一是</w:t>
      </w:r>
      <w:r w:rsidRPr="00C87596">
        <w:rPr>
          <w:rFonts w:ascii="仿宋" w:eastAsia="仿宋" w:hAnsi="仿宋" w:hint="eastAsia"/>
          <w:sz w:val="32"/>
          <w:szCs w:val="32"/>
        </w:rPr>
        <w:t>明确了总损失吸收能力规则的基本原则，我国全球系统重要性银行进入处置阶段时，可以使用合格的资本和债务工具，通过减记或转为普通股等方式吸收损失。</w:t>
      </w:r>
      <w:r w:rsidRPr="005E6397">
        <w:rPr>
          <w:rFonts w:ascii="仿宋" w:eastAsia="仿宋" w:hAnsi="仿宋" w:hint="eastAsia"/>
          <w:b/>
          <w:sz w:val="32"/>
          <w:szCs w:val="32"/>
        </w:rPr>
        <w:t>二是</w:t>
      </w:r>
      <w:r w:rsidRPr="00C87596">
        <w:rPr>
          <w:rFonts w:ascii="仿宋" w:eastAsia="仿宋" w:hAnsi="仿宋" w:hint="eastAsia"/>
          <w:sz w:val="32"/>
          <w:szCs w:val="32"/>
        </w:rPr>
        <w:t>明确了外部总损失吸收能力的风险加权比率和杠杆比率的计算方法及达标要求。</w:t>
      </w:r>
      <w:r w:rsidRPr="005E6397">
        <w:rPr>
          <w:rFonts w:ascii="仿宋" w:eastAsia="仿宋" w:hAnsi="仿宋" w:hint="eastAsia"/>
          <w:b/>
          <w:sz w:val="32"/>
          <w:szCs w:val="32"/>
        </w:rPr>
        <w:t>三是</w:t>
      </w:r>
      <w:r w:rsidRPr="00C87596">
        <w:rPr>
          <w:rFonts w:ascii="仿宋" w:eastAsia="仿宋" w:hAnsi="仿宋" w:hint="eastAsia"/>
          <w:sz w:val="32"/>
          <w:szCs w:val="32"/>
        </w:rPr>
        <w:t>明确了外部总损失吸收能力的构成，以及可计入外部总损失吸收能力的资本工具和非资本债务工具的合格标准。</w:t>
      </w:r>
      <w:r w:rsidRPr="005E6397">
        <w:rPr>
          <w:rFonts w:ascii="仿宋" w:eastAsia="仿宋" w:hAnsi="仿宋" w:hint="eastAsia"/>
          <w:b/>
          <w:sz w:val="32"/>
          <w:szCs w:val="32"/>
        </w:rPr>
        <w:t>四是</w:t>
      </w:r>
      <w:r w:rsidRPr="00C87596">
        <w:rPr>
          <w:rFonts w:ascii="仿宋" w:eastAsia="仿宋" w:hAnsi="仿宋" w:hint="eastAsia"/>
          <w:sz w:val="32"/>
          <w:szCs w:val="32"/>
        </w:rPr>
        <w:t>明确了外部总损失吸收能力的扣除项，对全球系统重要性银行和非全球系统重要性银行持有其他全球系统重要性银行发行的总损失吸收能力非资本债务工具的资本扣除作出了规定。</w:t>
      </w:r>
      <w:r w:rsidRPr="005E6397">
        <w:rPr>
          <w:rFonts w:ascii="仿宋" w:eastAsia="仿宋" w:hAnsi="仿宋" w:hint="eastAsia"/>
          <w:b/>
          <w:sz w:val="32"/>
          <w:szCs w:val="32"/>
        </w:rPr>
        <w:t>五是</w:t>
      </w:r>
      <w:r w:rsidRPr="00C87596">
        <w:rPr>
          <w:rFonts w:ascii="仿宋" w:eastAsia="仿宋" w:hAnsi="仿宋" w:hint="eastAsia"/>
          <w:sz w:val="32"/>
          <w:szCs w:val="32"/>
        </w:rPr>
        <w:t>明确由中国人民银行依法对我国全球系统重要性银行总损失吸收能力情况进行监督检查，并对总损失吸收能力的非资本债务工具的发行进行管理。</w:t>
      </w:r>
      <w:r w:rsidRPr="005E6397">
        <w:rPr>
          <w:rFonts w:ascii="仿宋" w:eastAsia="仿宋" w:hAnsi="仿宋" w:hint="eastAsia"/>
          <w:b/>
          <w:sz w:val="32"/>
          <w:szCs w:val="32"/>
        </w:rPr>
        <w:t>六是</w:t>
      </w:r>
      <w:r w:rsidRPr="00C87596">
        <w:rPr>
          <w:rFonts w:ascii="仿宋" w:eastAsia="仿宋" w:hAnsi="仿宋" w:hint="eastAsia"/>
          <w:sz w:val="32"/>
          <w:szCs w:val="32"/>
        </w:rPr>
        <w:t>要求我国全球系统重要性银行通过公开渠道向投资者和公众披露总损失吸收能力相关信息，并保证信息的真实性、准确性和完整性。</w:t>
      </w:r>
      <w:r w:rsidRPr="005E6397">
        <w:rPr>
          <w:rFonts w:ascii="仿宋" w:eastAsia="仿宋" w:hAnsi="仿宋" w:hint="eastAsia"/>
          <w:b/>
          <w:sz w:val="32"/>
          <w:szCs w:val="32"/>
        </w:rPr>
        <w:t>七是</w:t>
      </w:r>
      <w:r w:rsidRPr="00C87596">
        <w:rPr>
          <w:rFonts w:ascii="仿宋" w:eastAsia="仿宋" w:hAnsi="仿宋" w:hint="eastAsia"/>
          <w:sz w:val="32"/>
          <w:szCs w:val="32"/>
        </w:rPr>
        <w:t>明确了特殊情况下我国全球系统重要性银行达标时限等内容。境外全球系统重要性银行在我国境内设立的附属公司若被认定为处置实体，按本办法执行。</w:t>
      </w:r>
    </w:p>
    <w:p w:rsidR="00F27560" w:rsidRPr="00C87596" w:rsidRDefault="00C87596" w:rsidP="00C87596">
      <w:pPr>
        <w:ind w:firstLineChars="200" w:firstLine="640"/>
        <w:rPr>
          <w:rFonts w:ascii="仿宋" w:eastAsia="仿宋" w:hAnsi="仿宋"/>
          <w:sz w:val="32"/>
          <w:szCs w:val="32"/>
        </w:rPr>
      </w:pPr>
      <w:r w:rsidRPr="00C87596">
        <w:rPr>
          <w:rFonts w:ascii="仿宋" w:eastAsia="仿宋" w:hAnsi="仿宋" w:hint="eastAsia"/>
          <w:sz w:val="32"/>
          <w:szCs w:val="32"/>
        </w:rPr>
        <w:lastRenderedPageBreak/>
        <w:t>公开征求意见结束后，中国人民银行、银保监会将会同有关部门根据反馈意见进一步修改完善《办法》。</w:t>
      </w:r>
    </w:p>
    <w:sectPr w:rsidR="00F27560" w:rsidRPr="00C8759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A4" w:rsidRDefault="00D732A4" w:rsidP="00AE31E4">
      <w:r>
        <w:separator/>
      </w:r>
    </w:p>
  </w:endnote>
  <w:endnote w:type="continuationSeparator" w:id="0">
    <w:p w:rsidR="00D732A4" w:rsidRDefault="00D732A4" w:rsidP="00AE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6918"/>
      <w:docPartObj>
        <w:docPartGallery w:val="Page Numbers (Bottom of Page)"/>
        <w:docPartUnique/>
      </w:docPartObj>
    </w:sdtPr>
    <w:sdtEndPr/>
    <w:sdtContent>
      <w:p w:rsidR="00AE31E4" w:rsidRDefault="00AE31E4">
        <w:pPr>
          <w:pStyle w:val="a5"/>
          <w:jc w:val="center"/>
        </w:pPr>
        <w:r>
          <w:fldChar w:fldCharType="begin"/>
        </w:r>
        <w:r>
          <w:instrText>PAGE   \* MERGEFORMAT</w:instrText>
        </w:r>
        <w:r>
          <w:fldChar w:fldCharType="separate"/>
        </w:r>
        <w:r w:rsidR="005736A5" w:rsidRPr="005736A5">
          <w:rPr>
            <w:noProof/>
            <w:lang w:val="zh-CN"/>
          </w:rPr>
          <w:t>1</w:t>
        </w:r>
        <w:r>
          <w:fldChar w:fldCharType="end"/>
        </w:r>
      </w:p>
    </w:sdtContent>
  </w:sdt>
  <w:p w:rsidR="00AE31E4" w:rsidRDefault="00AE31E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A4" w:rsidRDefault="00D732A4" w:rsidP="00AE31E4">
      <w:r>
        <w:separator/>
      </w:r>
    </w:p>
  </w:footnote>
  <w:footnote w:type="continuationSeparator" w:id="0">
    <w:p w:rsidR="00D732A4" w:rsidRDefault="00D732A4" w:rsidP="00AE3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F1"/>
    <w:rsid w:val="005736A5"/>
    <w:rsid w:val="005E6397"/>
    <w:rsid w:val="00A05CF1"/>
    <w:rsid w:val="00AE31E4"/>
    <w:rsid w:val="00C87596"/>
    <w:rsid w:val="00D732A4"/>
    <w:rsid w:val="00F27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1E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AE31E4"/>
    <w:rPr>
      <w:sz w:val="18"/>
      <w:szCs w:val="18"/>
    </w:rPr>
  </w:style>
  <w:style w:type="paragraph" w:styleId="a5">
    <w:name w:val="footer"/>
    <w:basedOn w:val="a"/>
    <w:link w:val="a6"/>
    <w:uiPriority w:val="99"/>
    <w:unhideWhenUsed/>
    <w:rsid w:val="00AE31E4"/>
    <w:pPr>
      <w:tabs>
        <w:tab w:val="center" w:pos="4153"/>
        <w:tab w:val="right" w:pos="8306"/>
      </w:tabs>
      <w:snapToGrid w:val="0"/>
      <w:jc w:val="left"/>
    </w:pPr>
    <w:rPr>
      <w:sz w:val="18"/>
      <w:szCs w:val="18"/>
    </w:rPr>
  </w:style>
  <w:style w:type="character" w:customStyle="1" w:styleId="a6">
    <w:name w:val="页脚字符"/>
    <w:basedOn w:val="a0"/>
    <w:link w:val="a5"/>
    <w:uiPriority w:val="99"/>
    <w:rsid w:val="00AE31E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1E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AE31E4"/>
    <w:rPr>
      <w:sz w:val="18"/>
      <w:szCs w:val="18"/>
    </w:rPr>
  </w:style>
  <w:style w:type="paragraph" w:styleId="a5">
    <w:name w:val="footer"/>
    <w:basedOn w:val="a"/>
    <w:link w:val="a6"/>
    <w:uiPriority w:val="99"/>
    <w:unhideWhenUsed/>
    <w:rsid w:val="00AE31E4"/>
    <w:pPr>
      <w:tabs>
        <w:tab w:val="center" w:pos="4153"/>
        <w:tab w:val="right" w:pos="8306"/>
      </w:tabs>
      <w:snapToGrid w:val="0"/>
      <w:jc w:val="left"/>
    </w:pPr>
    <w:rPr>
      <w:sz w:val="18"/>
      <w:szCs w:val="18"/>
    </w:rPr>
  </w:style>
  <w:style w:type="character" w:customStyle="1" w:styleId="a6">
    <w:name w:val="页脚字符"/>
    <w:basedOn w:val="a0"/>
    <w:link w:val="a5"/>
    <w:uiPriority w:val="99"/>
    <w:rsid w:val="00AE31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953</Characters>
  <Application>Microsoft Macintosh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pbc</dc:creator>
  <cp:keywords/>
  <dc:description/>
  <cp:lastModifiedBy>王岭燕</cp:lastModifiedBy>
  <cp:revision>2</cp:revision>
  <dcterms:created xsi:type="dcterms:W3CDTF">2020-10-09T08:44:00Z</dcterms:created>
  <dcterms:modified xsi:type="dcterms:W3CDTF">2020-10-09T08:44:00Z</dcterms:modified>
</cp:coreProperties>
</file>